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4A" w:rsidRDefault="00A92BC0" w:rsidP="00C645AB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A92BC0">
        <w:rPr>
          <w:rFonts w:ascii="ＭＳ ゴシック" w:eastAsia="ＭＳ ゴシック" w:hAnsi="ＭＳ ゴシック"/>
          <w:noProof/>
          <w:color w:val="000000"/>
          <w:spacing w:val="2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25.5pt;margin-top:-33.6pt;width:65.4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rdsw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" filled="f" stroked="f">
            <v:textbox inset="5.85pt,.7pt,5.85pt,.7pt">
              <w:txbxContent>
                <w:p w:rsidR="00AC4891" w:rsidRPr="0028206D" w:rsidRDefault="00AC4891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（別紙）</w:t>
                  </w:r>
                </w:p>
              </w:txbxContent>
            </v:textbox>
          </v:shape>
        </w:pict>
      </w:r>
      <w:r w:rsidR="00705AC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社会資本総合整備計画（</w:t>
      </w:r>
      <w:r w:rsidR="0028206D" w:rsidRPr="00EB3F3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地域住宅計画</w:t>
      </w:r>
      <w:r w:rsidR="00705AC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）</w:t>
      </w:r>
      <w:r w:rsidR="00C3414A" w:rsidRPr="00EB3F3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の事後評価</w:t>
      </w:r>
      <w:r w:rsidR="0076039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報告シート</w:t>
      </w:r>
    </w:p>
    <w:p w:rsidR="00B62522" w:rsidRPr="00B62522" w:rsidRDefault="00B62522" w:rsidP="00637CF3">
      <w:pPr>
        <w:overflowPunct w:val="0"/>
        <w:spacing w:line="20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u w:val="wave"/>
        </w:rPr>
      </w:pPr>
    </w:p>
    <w:tbl>
      <w:tblPr>
        <w:tblStyle w:val="a5"/>
        <w:tblW w:w="9781" w:type="dxa"/>
        <w:tblInd w:w="108" w:type="dxa"/>
        <w:tblLook w:val="01E0"/>
      </w:tblPr>
      <w:tblGrid>
        <w:gridCol w:w="1985"/>
        <w:gridCol w:w="7796"/>
      </w:tblGrid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B3F36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B3F3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１.</w:t>
            </w:r>
            <w:r w:rsidR="0076039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事後評価を実施した</w:t>
            </w:r>
            <w:r w:rsidR="00705AC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社会資本総合整備計画（</w:t>
            </w:r>
            <w:r w:rsidRPr="00EB3F3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地域住宅計画</w:t>
            </w:r>
            <w:r w:rsidR="00705AC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）</w:t>
            </w:r>
          </w:p>
        </w:tc>
      </w:tr>
      <w:tr w:rsidR="00F915FA" w:rsidRPr="00F915FA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①計画の名称</w:t>
            </w:r>
          </w:p>
        </w:tc>
        <w:tc>
          <w:tcPr>
            <w:tcW w:w="7796" w:type="dxa"/>
            <w:tcBorders>
              <w:top w:val="single" w:sz="6" w:space="0" w:color="auto"/>
              <w:right w:val="single" w:sz="6" w:space="0" w:color="auto"/>
            </w:tcBorders>
          </w:tcPr>
          <w:p w:rsidR="00F915FA" w:rsidRPr="006249EE" w:rsidRDefault="006B1E76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富士宮市における住宅セーフティネットの構築と住環境の向上</w:t>
            </w:r>
            <w:r w:rsidR="006249E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(地域住宅計画)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②都道府県名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6B1E76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静岡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県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③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計画作成主体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6B1E76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市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④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計画期間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6B1E76" w:rsidP="006B1E7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平成２２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年度　～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３２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⑤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計画の目標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B5741C" w:rsidRDefault="006B1E76" w:rsidP="00791E2F">
            <w:pPr>
              <w:overflowPunct w:val="0"/>
              <w:spacing w:line="280" w:lineRule="exact"/>
              <w:ind w:left="216" w:hangingChars="100" w:hanging="21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・公共賃貸住宅による居住の安定性の確保を図るため、建替えを推進する。</w:t>
            </w:r>
          </w:p>
          <w:p w:rsidR="00791E2F" w:rsidRDefault="006B1E76" w:rsidP="00791E2F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・次世代に継承できる安全で良質な住宅ストックを形成する。</w:t>
            </w:r>
          </w:p>
          <w:p w:rsidR="00D937C1" w:rsidRDefault="006B1E76" w:rsidP="00D937C1">
            <w:pPr>
              <w:overflowPunct w:val="0"/>
              <w:spacing w:line="280" w:lineRule="exact"/>
              <w:ind w:left="432" w:hangingChars="200" w:hanging="43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・住宅</w:t>
            </w:r>
            <w:r w:rsidR="00D937C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・建築物の耐震化や住宅市街地の防災対策を行うにより、安全で安心で</w:t>
            </w:r>
          </w:p>
          <w:p w:rsidR="00770E1E" w:rsidRPr="00E42C98" w:rsidRDefault="00D937C1" w:rsidP="00D937C1">
            <w:pPr>
              <w:overflowPunct w:val="0"/>
              <w:spacing w:line="280" w:lineRule="exact"/>
              <w:ind w:leftChars="100" w:left="428" w:hangingChars="100" w:hanging="21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きる</w:t>
            </w:r>
            <w:r w:rsidR="006B1E7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住まい・まちづくりを実現する。</w:t>
            </w:r>
          </w:p>
        </w:tc>
      </w:tr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42C98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２.</w:t>
            </w:r>
            <w:r w:rsidR="0076039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事後評価の内容</w:t>
            </w:r>
          </w:p>
        </w:tc>
      </w:tr>
      <w:tr w:rsidR="00770E1E" w:rsidRPr="00F915FA">
        <w:tc>
          <w:tcPr>
            <w:tcW w:w="1985" w:type="dxa"/>
            <w:tcBorders>
              <w:left w:val="single" w:sz="6" w:space="0" w:color="auto"/>
            </w:tcBorders>
          </w:tcPr>
          <w:p w:rsidR="00770E1E" w:rsidRDefault="0034720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⑥実施</w:t>
            </w:r>
            <w:r w:rsidR="00770E1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体制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・時期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770E1E" w:rsidRPr="0057175E" w:rsidRDefault="00D937C1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富士宮市において評価を実施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⑦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事後評価の結果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57175E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指標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①：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「</w:t>
            </w:r>
            <w:r w:rsidR="00D937C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</w:t>
            </w:r>
            <w:r w:rsidR="001969D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住宅建替</w:t>
            </w:r>
            <w:r w:rsidR="00630E6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事業の</w:t>
            </w:r>
            <w:r w:rsidR="001969D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進捗率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」</w:t>
            </w:r>
          </w:p>
          <w:p w:rsidR="00B5741C" w:rsidRPr="0057175E" w:rsidRDefault="00B5741C" w:rsidP="001969D2">
            <w:pPr>
              <w:overflowPunct w:val="0"/>
              <w:spacing w:line="280" w:lineRule="exact"/>
              <w:ind w:left="824" w:hangingChars="400" w:hanging="82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定</w:t>
            </w:r>
            <w:r w:rsidR="00960400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義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市営万野住宅の建替事業（H23～36年度）うち27年度までを全事業として執行額をもとに算出する地域住宅計画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に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基づく指標</w:t>
            </w:r>
          </w:p>
          <w:p w:rsidR="007B3F58" w:rsidRPr="0057175E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60396">
              <w:rPr>
                <w:rFonts w:ascii="ＭＳ ゴシック" w:eastAsia="ＭＳ ゴシック" w:hAnsi="ＭＳ ゴシック" w:hint="eastAsia"/>
                <w:color w:val="000000"/>
                <w:w w:val="75"/>
                <w:kern w:val="0"/>
                <w:sz w:val="20"/>
                <w:szCs w:val="20"/>
                <w:fitText w:val="606" w:id="-1514295552"/>
              </w:rPr>
              <w:t>評価方法</w:t>
            </w:r>
            <w:r w:rsidR="007B3F58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965C2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市営住宅の進捗率＝執行</w:t>
            </w:r>
            <w:r w:rsidR="00CB3F5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額</w:t>
            </w:r>
            <w:r w:rsidR="00965C2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累積／H27年度までの事業費</w:t>
            </w:r>
          </w:p>
          <w:p w:rsidR="00B5741C" w:rsidRPr="0057175E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</w:t>
            </w:r>
            <w:r w:rsidR="00960400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果：従前値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2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％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H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23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年度）⇒目標値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100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％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0251A7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H2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実績値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:</w:t>
            </w:r>
            <w:r w:rsidR="00CB3F5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100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％</w:t>
            </w:r>
          </w:p>
          <w:p w:rsidR="00A9158A" w:rsidRDefault="00A9158A" w:rsidP="00CB3F5B">
            <w:pPr>
              <w:overflowPunct w:val="0"/>
              <w:spacing w:line="280" w:lineRule="exact"/>
              <w:ind w:left="876" w:hangingChars="690" w:hanging="87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252524">
              <w:rPr>
                <w:rFonts w:ascii="ＭＳ ゴシック" w:eastAsia="ＭＳ ゴシック" w:hAnsi="ＭＳ ゴシック" w:hint="eastAsia"/>
                <w:color w:val="000000"/>
                <w:w w:val="63"/>
                <w:kern w:val="0"/>
                <w:sz w:val="20"/>
                <w:szCs w:val="20"/>
                <w:fitText w:val="636" w:id="-1517063936"/>
              </w:rPr>
              <w:t>結果の分</w:t>
            </w:r>
            <w:r w:rsidRPr="00252524">
              <w:rPr>
                <w:rFonts w:ascii="ＭＳ ゴシック" w:eastAsia="ＭＳ ゴシック" w:hAnsi="ＭＳ ゴシック" w:hint="eastAsia"/>
                <w:color w:val="000000"/>
                <w:spacing w:val="15"/>
                <w:w w:val="63"/>
                <w:kern w:val="0"/>
                <w:sz w:val="20"/>
                <w:szCs w:val="20"/>
                <w:fitText w:val="636" w:id="-1517063936"/>
              </w:rPr>
              <w:t>析</w:t>
            </w:r>
            <w:r w:rsidR="001B3C33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CB3F5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平成27年度までの事業費は205,790,000円、執行額累積も205,790,000円と同額であり、目標を達成した。</w:t>
            </w:r>
          </w:p>
          <w:p w:rsidR="00F37520" w:rsidRDefault="00CB3F5B" w:rsidP="00F37520">
            <w:pPr>
              <w:overflowPunct w:val="0"/>
              <w:spacing w:line="280" w:lineRule="exact"/>
              <w:ind w:left="1215" w:hangingChars="590" w:hanging="121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</w:t>
            </w:r>
            <w:r w:rsidR="00F3752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市営万野住宅Ａ棟工区の造成、調整地の整備、Ａ棟本体工事に着工するこ</w:t>
            </w:r>
          </w:p>
          <w:p w:rsidR="00F37520" w:rsidRDefault="00F37520" w:rsidP="00F37520">
            <w:pPr>
              <w:overflowPunct w:val="0"/>
              <w:spacing w:line="280" w:lineRule="exact"/>
              <w:ind w:leftChars="400" w:left="1239" w:hangingChars="190" w:hanging="391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とができた。</w:t>
            </w:r>
          </w:p>
          <w:p w:rsidR="00F37520" w:rsidRDefault="00F37520" w:rsidP="00F37520">
            <w:pPr>
              <w:overflowPunct w:val="0"/>
              <w:spacing w:line="280" w:lineRule="exact"/>
              <w:ind w:leftChars="400" w:left="1239" w:hangingChars="190" w:hanging="391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252524" w:rsidRDefault="00252524" w:rsidP="00F37520">
            <w:pPr>
              <w:overflowPunct w:val="0"/>
              <w:spacing w:line="280" w:lineRule="exact"/>
              <w:ind w:leftChars="400" w:left="1239" w:hangingChars="190" w:hanging="391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252524" w:rsidRPr="00FC6F66" w:rsidRDefault="00252524" w:rsidP="00F37520">
            <w:pPr>
              <w:overflowPunct w:val="0"/>
              <w:spacing w:line="280" w:lineRule="exact"/>
              <w:ind w:leftChars="400" w:left="1239" w:hangingChars="190" w:hanging="391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5741C" w:rsidRPr="0057175E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指標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②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「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狭あい道路整備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」</w:t>
            </w:r>
          </w:p>
          <w:p w:rsidR="00B5741C" w:rsidRPr="0057175E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定</w:t>
            </w:r>
            <w:r w:rsidR="00960400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義：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狭あい道路の整備延長数の増加</w:t>
            </w:r>
          </w:p>
          <w:p w:rsidR="007B3F58" w:rsidRPr="0057175E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60396">
              <w:rPr>
                <w:rFonts w:ascii="ＭＳ ゴシック" w:eastAsia="ＭＳ ゴシック" w:hAnsi="ＭＳ ゴシック" w:hint="eastAsia"/>
                <w:color w:val="000000"/>
                <w:w w:val="75"/>
                <w:kern w:val="0"/>
                <w:sz w:val="20"/>
                <w:szCs w:val="20"/>
                <w:fitText w:val="606" w:id="-1514295552"/>
              </w:rPr>
              <w:t>評価方法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事業実績に基づく数値</w:t>
            </w:r>
          </w:p>
          <w:p w:rsidR="00B5741C" w:rsidRPr="0057175E" w:rsidRDefault="00EB3F36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</w:t>
            </w:r>
            <w:r w:rsidR="00960400"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果：従前値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540m（H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23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年度）⇒目標値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1,740ｍ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FC6F6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H2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実績値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:</w:t>
            </w:r>
            <w:r w:rsidR="00D32BD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2,279</w:t>
            </w:r>
            <w:r w:rsidR="00D32BD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m</w:t>
            </w:r>
            <w:r w:rsidR="00791E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356949" w:rsidRDefault="0041458E" w:rsidP="00400FF5">
            <w:pPr>
              <w:overflowPunct w:val="0"/>
              <w:spacing w:line="280" w:lineRule="exact"/>
              <w:ind w:left="749" w:hangingChars="590" w:hanging="74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252524">
              <w:rPr>
                <w:rFonts w:ascii="ＭＳ ゴシック" w:eastAsia="ＭＳ ゴシック" w:hAnsi="ＭＳ ゴシック" w:hint="eastAsia"/>
                <w:color w:val="000000"/>
                <w:w w:val="63"/>
                <w:kern w:val="0"/>
                <w:sz w:val="20"/>
                <w:szCs w:val="20"/>
                <w:fitText w:val="636" w:id="-1517063936"/>
              </w:rPr>
              <w:t>結果の分</w:t>
            </w:r>
            <w:r w:rsidRPr="00252524">
              <w:rPr>
                <w:rFonts w:ascii="ＭＳ ゴシック" w:eastAsia="ＭＳ ゴシック" w:hAnsi="ＭＳ ゴシック" w:hint="eastAsia"/>
                <w:color w:val="000000"/>
                <w:spacing w:val="15"/>
                <w:w w:val="63"/>
                <w:kern w:val="0"/>
                <w:sz w:val="20"/>
                <w:szCs w:val="20"/>
                <w:fitText w:val="636" w:id="-1517063936"/>
              </w:rPr>
              <w:t>析</w:t>
            </w:r>
            <w:r w:rsidR="0022221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400F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周知啓発活動</w:t>
            </w:r>
            <w:r w:rsidR="0033286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とそれに伴う</w:t>
            </w:r>
            <w:r w:rsidR="00400FF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建築主等の協力が想定以上であったため、目標を上回る成果となった。</w:t>
            </w:r>
            <w:r w:rsidR="00222216" w:rsidRPr="0022221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市道で4ｍ未満の建築基準法第42条第2項による道路の後退部分の道路拡幅等を行った結果、以前の状態よりも交通上安全上の改善を図ることができた。</w:t>
            </w:r>
          </w:p>
          <w:p w:rsidR="00791E2F" w:rsidRDefault="00791E2F" w:rsidP="00791E2F">
            <w:pPr>
              <w:overflowPunct w:val="0"/>
              <w:spacing w:line="280" w:lineRule="exact"/>
              <w:ind w:left="1215" w:hangingChars="590" w:hanging="121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91664" w:rsidRDefault="00F91664" w:rsidP="00400FF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指標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③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「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住宅の耐震化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」</w:t>
            </w: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定　義：</w:t>
            </w:r>
            <w:r w:rsidR="00F916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住宅の耐震化率の増加</w:t>
            </w: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60396">
              <w:rPr>
                <w:rFonts w:ascii="ＭＳ ゴシック" w:eastAsia="ＭＳ ゴシック" w:hAnsi="ＭＳ ゴシック" w:hint="eastAsia"/>
                <w:color w:val="000000"/>
                <w:w w:val="75"/>
                <w:kern w:val="0"/>
                <w:sz w:val="20"/>
                <w:szCs w:val="20"/>
                <w:fitText w:val="606" w:id="-1514295552"/>
              </w:rPr>
              <w:t>評価方法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事業実績に基づく数値</w:t>
            </w:r>
            <w:bookmarkStart w:id="0" w:name="_GoBack"/>
            <w:bookmarkEnd w:id="0"/>
          </w:p>
          <w:p w:rsidR="00FC6F66" w:rsidRPr="00252524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  <w:u w:val="single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　果：従前値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71.0%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H17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年度）⇒目標値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90%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H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2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</w:t>
            </w:r>
            <w:r w:rsidRPr="00194FD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実績値: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u w:val="single"/>
              </w:rPr>
              <w:t>81.6％</w:t>
            </w:r>
            <w:r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791E2F" w:rsidRPr="00252524" w:rsidRDefault="00FC6F66" w:rsidP="00194FD0">
            <w:pPr>
              <w:overflowPunct w:val="0"/>
              <w:spacing w:line="280" w:lineRule="exact"/>
              <w:ind w:left="749" w:hangingChars="590" w:hanging="749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252524"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szCs w:val="20"/>
                <w:fitText w:val="636" w:id="-1517063936"/>
              </w:rPr>
              <w:t>結果の分</w:t>
            </w:r>
            <w:r w:rsidRPr="00252524">
              <w:rPr>
                <w:rFonts w:ascii="ＭＳ ゴシック" w:eastAsia="ＭＳ ゴシック" w:hAnsi="ＭＳ ゴシック" w:hint="eastAsia"/>
                <w:spacing w:val="15"/>
                <w:w w:val="63"/>
                <w:kern w:val="0"/>
                <w:sz w:val="20"/>
                <w:szCs w:val="20"/>
                <w:fitText w:val="636" w:id="-1517063936"/>
              </w:rPr>
              <w:t>析</w:t>
            </w:r>
            <w:r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：</w:t>
            </w:r>
            <w:r w:rsidR="00967EEC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木造住宅の耐震補強については、目標件数を達成しているものの、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平成25</w:t>
            </w:r>
            <w:r w:rsidR="006C3AD8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年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住宅</w:t>
            </w:r>
            <w:r w:rsidR="006C3AD8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・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土地統計調査</w:t>
            </w:r>
            <w:r w:rsidR="00967EEC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をもとに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平成25</w:t>
            </w:r>
            <w:r w:rsidR="00967EEC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年度の住宅の解体、確認申請等の件数から耐震化率を</w:t>
            </w:r>
            <w:r w:rsidR="00194FD0" w:rsidRPr="0025252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算出した結果、目標値に届かなかった。</w:t>
            </w:r>
          </w:p>
          <w:p w:rsidR="00F91664" w:rsidRDefault="00194FD0" w:rsidP="00791E2F">
            <w:pPr>
              <w:overflowPunct w:val="0"/>
              <w:spacing w:line="280" w:lineRule="exact"/>
              <w:ind w:left="1215" w:hangingChars="590" w:hanging="121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</w:t>
            </w:r>
          </w:p>
          <w:p w:rsidR="00F91664" w:rsidRDefault="00F91664" w:rsidP="00791E2F">
            <w:pPr>
              <w:overflowPunct w:val="0"/>
              <w:spacing w:line="280" w:lineRule="exact"/>
              <w:ind w:left="1215" w:hangingChars="590" w:hanging="121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指標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④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「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市営住宅のバリアフリー化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」</w:t>
            </w: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定　義：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市営住宅のバリアフリー化工事実施戸数</w:t>
            </w: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760396">
              <w:rPr>
                <w:rFonts w:ascii="ＭＳ ゴシック" w:eastAsia="ＭＳ ゴシック" w:hAnsi="ＭＳ ゴシック" w:hint="eastAsia"/>
                <w:color w:val="000000"/>
                <w:w w:val="75"/>
                <w:kern w:val="0"/>
                <w:sz w:val="20"/>
                <w:szCs w:val="20"/>
                <w:fitText w:val="606" w:id="-1514295552"/>
              </w:rPr>
              <w:t>評価方法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事業実績に基づく数値</w:t>
            </w:r>
          </w:p>
          <w:p w:rsidR="00FC6F66" w:rsidRPr="0057175E" w:rsidRDefault="00FC6F66" w:rsidP="00FC6F66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　果：従前値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216戸（H2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3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年度）⇒目標値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: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338戸（H2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7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年度）⇒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実績値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: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274</w:t>
            </w:r>
            <w:r w:rsidR="00CA624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>戸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791E2F" w:rsidRPr="00602B3F" w:rsidRDefault="00FC6F66" w:rsidP="00F91664">
            <w:pPr>
              <w:overflowPunct w:val="0"/>
              <w:spacing w:line="280" w:lineRule="exact"/>
              <w:ind w:left="749" w:hangingChars="590" w:hanging="74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252524">
              <w:rPr>
                <w:rFonts w:ascii="ＭＳ ゴシック" w:eastAsia="ＭＳ ゴシック" w:hAnsi="ＭＳ ゴシック" w:hint="eastAsia"/>
                <w:color w:val="000000"/>
                <w:w w:val="63"/>
                <w:kern w:val="0"/>
                <w:sz w:val="20"/>
                <w:szCs w:val="20"/>
                <w:fitText w:val="636" w:id="-1517063936"/>
              </w:rPr>
              <w:t>結果の分</w:t>
            </w:r>
            <w:r w:rsidRPr="00252524">
              <w:rPr>
                <w:rFonts w:ascii="ＭＳ ゴシック" w:eastAsia="ＭＳ ゴシック" w:hAnsi="ＭＳ ゴシック" w:hint="eastAsia"/>
                <w:color w:val="000000"/>
                <w:spacing w:val="15"/>
                <w:w w:val="63"/>
                <w:kern w:val="0"/>
                <w:sz w:val="20"/>
                <w:szCs w:val="20"/>
                <w:fitText w:val="636" w:id="-1517063936"/>
              </w:rPr>
              <w:t>析</w:t>
            </w:r>
            <w:r w:rsidRPr="005717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64戸目標値に足りていないが、既に設計・建設段階</w:t>
            </w:r>
            <w:r w:rsidR="006249E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等</w:t>
            </w:r>
            <w:r w:rsidR="004F27A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でﾊﾞﾘｱﾌﾘｰ化されていた38戸を加えると、実際のバリアフリー化済みの戸数は312戸である。実質、26戸目標に届いていないことになるが、これは予算確保ができなかったためである。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⑧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結果の公表方法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F915FA" w:rsidRPr="0057175E" w:rsidRDefault="00F91664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ホームページ</w:t>
            </w:r>
          </w:p>
        </w:tc>
      </w:tr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42C98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lastRenderedPageBreak/>
              <w:t>３．</w:t>
            </w:r>
            <w:r w:rsidR="00B62522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事後評価の結果を踏まえた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今後の住宅施策の取組</w:t>
            </w: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への反映等</w:t>
            </w:r>
          </w:p>
        </w:tc>
      </w:tr>
      <w:tr w:rsidR="00F915FA" w:rsidRPr="00F915FA">
        <w:trPr>
          <w:trHeight w:val="41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F915FA" w:rsidRDefault="00770E1E" w:rsidP="00960400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⑨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今後の住宅施策の取組</w:t>
            </w:r>
            <w:r w:rsidR="00637CF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への反映</w:t>
            </w:r>
          </w:p>
          <w:p w:rsidR="0013437C" w:rsidRPr="00CB1AF8" w:rsidRDefault="0013437C" w:rsidP="00CB1AF8">
            <w:pPr>
              <w:overflowPunct w:val="0"/>
              <w:spacing w:line="200" w:lineRule="exact"/>
              <w:ind w:left="162" w:hangingChars="100" w:hanging="162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6" w:space="0" w:color="auto"/>
              <w:right w:val="single" w:sz="6" w:space="0" w:color="auto"/>
            </w:tcBorders>
          </w:tcPr>
          <w:p w:rsidR="00791E2F" w:rsidRDefault="00F91664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今回の事業評価結果を踏まえ、次期地域住宅計画（次期社会資本計画）において目標を達成できるよう、事業を推進する。</w:t>
            </w:r>
          </w:p>
          <w:p w:rsidR="00F91664" w:rsidRDefault="00F91664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１）次期地域住宅計画（社会資本総合整備計画）</w:t>
            </w:r>
          </w:p>
          <w:p w:rsidR="00F91664" w:rsidRDefault="00F91664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富士宮市における安全・安心な住まいづくりの推進（富士宮市地域住宅計画）</w:t>
            </w:r>
          </w:p>
          <w:p w:rsidR="00F91664" w:rsidRDefault="006249EE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２）計画期間</w:t>
            </w:r>
          </w:p>
          <w:p w:rsidR="006249EE" w:rsidRDefault="006249EE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平成28～32年度</w:t>
            </w:r>
          </w:p>
          <w:p w:rsidR="006249EE" w:rsidRDefault="006249EE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３）目標値</w:t>
            </w:r>
          </w:p>
          <w:p w:rsidR="006249EE" w:rsidRDefault="006249EE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①市営住宅建替戸数の整備率：0戸（H28年度当初）</w:t>
            </w:r>
          </w:p>
          <w:p w:rsidR="006249EE" w:rsidRDefault="006249EE" w:rsidP="00765A4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②市営住宅のバリアフリー化等の整備率：52.1%（H28年度当初）</w:t>
            </w:r>
          </w:p>
          <w:p w:rsidR="006249EE" w:rsidRPr="00CB1AF8" w:rsidRDefault="006249EE" w:rsidP="006249E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③市営住宅の設備配管改修等の整備率：35.5%（H28年度当初）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⑩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41458E" w:rsidRPr="00CB1AF8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 w:rsidRPr="00CB1AF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>（特記すべき事項があれば記載）</w:t>
            </w:r>
          </w:p>
        </w:tc>
      </w:tr>
    </w:tbl>
    <w:p w:rsidR="00802F4B" w:rsidRDefault="00802F4B" w:rsidP="00802F4B">
      <w:pPr>
        <w:overflowPunct w:val="0"/>
        <w:spacing w:line="20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u w:val="wave"/>
        </w:rPr>
      </w:pPr>
    </w:p>
    <w:p w:rsidR="00B62522" w:rsidRPr="00705ACA" w:rsidRDefault="007B17E0" w:rsidP="00DB4A94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u w:val="wave"/>
        </w:rPr>
      </w:pPr>
      <w:r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※この事後評価は別添の</w:t>
      </w:r>
      <w:r w:rsidR="00705ACA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社会資本総合整備計画（</w:t>
      </w:r>
      <w:r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地域住宅計画</w:t>
      </w:r>
      <w:r w:rsidR="00705ACA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）</w:t>
      </w:r>
      <w:r w:rsidR="00B62522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について行ったものである。</w:t>
      </w:r>
    </w:p>
    <w:sectPr w:rsidR="00B62522" w:rsidRPr="00705ACA" w:rsidSect="00637CF3">
      <w:headerReference w:type="default" r:id="rId8"/>
      <w:pgSz w:w="11906" w:h="16838" w:code="9"/>
      <w:pgMar w:top="851" w:right="1134" w:bottom="567" w:left="1134" w:header="851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91" w:rsidRDefault="00AC4891">
      <w:r>
        <w:separator/>
      </w:r>
    </w:p>
  </w:endnote>
  <w:endnote w:type="continuationSeparator" w:id="0">
    <w:p w:rsidR="00AC4891" w:rsidRDefault="00AC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91" w:rsidRDefault="00AC4891">
      <w:r>
        <w:separator/>
      </w:r>
    </w:p>
  </w:footnote>
  <w:footnote w:type="continuationSeparator" w:id="0">
    <w:p w:rsidR="00AC4891" w:rsidRDefault="00AC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91" w:rsidRPr="0071187D" w:rsidRDefault="00AC4891" w:rsidP="00765A42">
    <w:pPr>
      <w:overflowPunct w:val="0"/>
      <w:ind w:right="975"/>
      <w:textAlignment w:val="baseline"/>
      <w:rPr>
        <w:rFonts w:ascii="ＭＳ ゴシック" w:eastAsia="ＭＳ ゴシック" w:hAnsi="ＭＳ ゴシック"/>
        <w:color w:val="000000"/>
        <w:spacing w:val="2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C46"/>
    <w:multiLevelType w:val="hybridMultilevel"/>
    <w:tmpl w:val="6390174E"/>
    <w:lvl w:ilvl="0" w:tplc="D6169A1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31"/>
    <w:rsid w:val="00007806"/>
    <w:rsid w:val="00012806"/>
    <w:rsid w:val="00016B22"/>
    <w:rsid w:val="000251A7"/>
    <w:rsid w:val="00037A29"/>
    <w:rsid w:val="00066FEC"/>
    <w:rsid w:val="000754F7"/>
    <w:rsid w:val="00076279"/>
    <w:rsid w:val="000E15C4"/>
    <w:rsid w:val="000E3F88"/>
    <w:rsid w:val="000E422E"/>
    <w:rsid w:val="00123EAE"/>
    <w:rsid w:val="00130C83"/>
    <w:rsid w:val="0013437C"/>
    <w:rsid w:val="0014462F"/>
    <w:rsid w:val="00174076"/>
    <w:rsid w:val="00187EB5"/>
    <w:rsid w:val="00193BDE"/>
    <w:rsid w:val="00194FD0"/>
    <w:rsid w:val="001969D2"/>
    <w:rsid w:val="001A059C"/>
    <w:rsid w:val="001A0965"/>
    <w:rsid w:val="001B3C33"/>
    <w:rsid w:val="001B6E29"/>
    <w:rsid w:val="001F3A55"/>
    <w:rsid w:val="00202522"/>
    <w:rsid w:val="00222216"/>
    <w:rsid w:val="00252524"/>
    <w:rsid w:val="00265932"/>
    <w:rsid w:val="00270AFA"/>
    <w:rsid w:val="00277323"/>
    <w:rsid w:val="0028206D"/>
    <w:rsid w:val="00294DF2"/>
    <w:rsid w:val="00294F15"/>
    <w:rsid w:val="002B51BD"/>
    <w:rsid w:val="002C71E2"/>
    <w:rsid w:val="002D1D83"/>
    <w:rsid w:val="002D6DBE"/>
    <w:rsid w:val="002F1B2D"/>
    <w:rsid w:val="00302182"/>
    <w:rsid w:val="00331A38"/>
    <w:rsid w:val="00331F8E"/>
    <w:rsid w:val="00332869"/>
    <w:rsid w:val="0033674F"/>
    <w:rsid w:val="00345F82"/>
    <w:rsid w:val="00346B48"/>
    <w:rsid w:val="0034720A"/>
    <w:rsid w:val="00356949"/>
    <w:rsid w:val="0036269A"/>
    <w:rsid w:val="00365FC5"/>
    <w:rsid w:val="00390D20"/>
    <w:rsid w:val="003C7CDC"/>
    <w:rsid w:val="003E716B"/>
    <w:rsid w:val="00400FF5"/>
    <w:rsid w:val="00403506"/>
    <w:rsid w:val="0041458E"/>
    <w:rsid w:val="00444A10"/>
    <w:rsid w:val="004672AD"/>
    <w:rsid w:val="00473D90"/>
    <w:rsid w:val="0048764E"/>
    <w:rsid w:val="00487B38"/>
    <w:rsid w:val="004B5DB4"/>
    <w:rsid w:val="004F27A5"/>
    <w:rsid w:val="0057175E"/>
    <w:rsid w:val="005A41CD"/>
    <w:rsid w:val="005A70CF"/>
    <w:rsid w:val="005B13D2"/>
    <w:rsid w:val="005B6E5F"/>
    <w:rsid w:val="005C22D6"/>
    <w:rsid w:val="005C4968"/>
    <w:rsid w:val="00602B3F"/>
    <w:rsid w:val="00611C23"/>
    <w:rsid w:val="00617FA8"/>
    <w:rsid w:val="006249EE"/>
    <w:rsid w:val="00624BB2"/>
    <w:rsid w:val="00630E63"/>
    <w:rsid w:val="00632910"/>
    <w:rsid w:val="006331F2"/>
    <w:rsid w:val="00637CF3"/>
    <w:rsid w:val="006B1E76"/>
    <w:rsid w:val="006C282A"/>
    <w:rsid w:val="006C3AD8"/>
    <w:rsid w:val="006E73A8"/>
    <w:rsid w:val="006F2F15"/>
    <w:rsid w:val="006F6BA7"/>
    <w:rsid w:val="006F7DDE"/>
    <w:rsid w:val="00705ACA"/>
    <w:rsid w:val="0071187D"/>
    <w:rsid w:val="007334D1"/>
    <w:rsid w:val="0074531B"/>
    <w:rsid w:val="007465E1"/>
    <w:rsid w:val="0075170D"/>
    <w:rsid w:val="00753922"/>
    <w:rsid w:val="00760396"/>
    <w:rsid w:val="007623C2"/>
    <w:rsid w:val="00765A42"/>
    <w:rsid w:val="00770E1E"/>
    <w:rsid w:val="00791E2F"/>
    <w:rsid w:val="007B17E0"/>
    <w:rsid w:val="007B1D70"/>
    <w:rsid w:val="007B3F58"/>
    <w:rsid w:val="007C43F5"/>
    <w:rsid w:val="007F6126"/>
    <w:rsid w:val="00802F4B"/>
    <w:rsid w:val="00816781"/>
    <w:rsid w:val="0082120E"/>
    <w:rsid w:val="008311AD"/>
    <w:rsid w:val="00831D4A"/>
    <w:rsid w:val="0083539B"/>
    <w:rsid w:val="0086666B"/>
    <w:rsid w:val="008736AF"/>
    <w:rsid w:val="00882621"/>
    <w:rsid w:val="0088416B"/>
    <w:rsid w:val="00895F2D"/>
    <w:rsid w:val="008F588D"/>
    <w:rsid w:val="00912AA8"/>
    <w:rsid w:val="00960400"/>
    <w:rsid w:val="00965C23"/>
    <w:rsid w:val="00967EEC"/>
    <w:rsid w:val="00985DE4"/>
    <w:rsid w:val="009A0C0A"/>
    <w:rsid w:val="009F41BC"/>
    <w:rsid w:val="00A249EF"/>
    <w:rsid w:val="00A35D27"/>
    <w:rsid w:val="00A61B9F"/>
    <w:rsid w:val="00A7558D"/>
    <w:rsid w:val="00A9158A"/>
    <w:rsid w:val="00A92BC0"/>
    <w:rsid w:val="00AA2362"/>
    <w:rsid w:val="00AC4891"/>
    <w:rsid w:val="00AC6D95"/>
    <w:rsid w:val="00B07C41"/>
    <w:rsid w:val="00B3186F"/>
    <w:rsid w:val="00B5741C"/>
    <w:rsid w:val="00B62522"/>
    <w:rsid w:val="00B96880"/>
    <w:rsid w:val="00BA2F19"/>
    <w:rsid w:val="00C01106"/>
    <w:rsid w:val="00C3414A"/>
    <w:rsid w:val="00C61A30"/>
    <w:rsid w:val="00C645AB"/>
    <w:rsid w:val="00C72B83"/>
    <w:rsid w:val="00C822A1"/>
    <w:rsid w:val="00CA6244"/>
    <w:rsid w:val="00CB1AF8"/>
    <w:rsid w:val="00CB3F5B"/>
    <w:rsid w:val="00CD2A07"/>
    <w:rsid w:val="00CF3A58"/>
    <w:rsid w:val="00D06F5F"/>
    <w:rsid w:val="00D2030B"/>
    <w:rsid w:val="00D2654F"/>
    <w:rsid w:val="00D32BD5"/>
    <w:rsid w:val="00D35727"/>
    <w:rsid w:val="00D703C1"/>
    <w:rsid w:val="00D763A4"/>
    <w:rsid w:val="00D77C5A"/>
    <w:rsid w:val="00D937C1"/>
    <w:rsid w:val="00DB32FC"/>
    <w:rsid w:val="00DB4A94"/>
    <w:rsid w:val="00DF5A74"/>
    <w:rsid w:val="00DF758A"/>
    <w:rsid w:val="00E02949"/>
    <w:rsid w:val="00E2102C"/>
    <w:rsid w:val="00E42C98"/>
    <w:rsid w:val="00E46693"/>
    <w:rsid w:val="00E67C31"/>
    <w:rsid w:val="00E87C4C"/>
    <w:rsid w:val="00EA2A21"/>
    <w:rsid w:val="00EA72B9"/>
    <w:rsid w:val="00EB3F36"/>
    <w:rsid w:val="00EB6CC2"/>
    <w:rsid w:val="00EF5BC0"/>
    <w:rsid w:val="00F12359"/>
    <w:rsid w:val="00F14428"/>
    <w:rsid w:val="00F37520"/>
    <w:rsid w:val="00F915FA"/>
    <w:rsid w:val="00F91664"/>
    <w:rsid w:val="00F94BE7"/>
    <w:rsid w:val="00F97DBF"/>
    <w:rsid w:val="00FB6A47"/>
    <w:rsid w:val="00FC2ED0"/>
    <w:rsid w:val="00F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6FE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44A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E3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6FE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4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E3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EF27-6647-485E-AD4D-16669E8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1393</Words>
  <Characters>231</Characters>
  <Application>Microsoft Office Word</Application>
  <DocSecurity>4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                                                        番号</vt:lpstr>
    </vt:vector>
  </TitlesOfParts>
  <Company>国土交通省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行政情報システム室</dc:creator>
  <cp:lastModifiedBy>U28479</cp:lastModifiedBy>
  <cp:revision>2</cp:revision>
  <cp:lastPrinted>2016-04-06T02:36:00Z</cp:lastPrinted>
  <dcterms:created xsi:type="dcterms:W3CDTF">2016-04-06T06:02:00Z</dcterms:created>
  <dcterms:modified xsi:type="dcterms:W3CDTF">2016-04-06T06:02:00Z</dcterms:modified>
</cp:coreProperties>
</file>